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8382D" w14:textId="1B0BC7D5" w:rsidR="00E44977" w:rsidRPr="008E6E8F" w:rsidRDefault="00E44977" w:rsidP="003E4966">
      <w:pPr>
        <w:rPr>
          <w:rFonts w:ascii="Century Gothic" w:hAnsi="Century Gothic"/>
          <w:i/>
          <w:iCs/>
        </w:rPr>
      </w:pPr>
      <w:r w:rsidRPr="008E6E8F">
        <w:rPr>
          <w:rFonts w:ascii="Century Gothic" w:hAnsi="Century Gothic"/>
          <w:i/>
          <w:iCs/>
        </w:rPr>
        <w:t>To whom it may concern</w:t>
      </w:r>
    </w:p>
    <w:p w14:paraId="111C9BDB" w14:textId="04F0DFFA" w:rsidR="003E4966" w:rsidRDefault="003E4966" w:rsidP="003E4966">
      <w:pPr>
        <w:rPr>
          <w:rFonts w:ascii="Century Gothic" w:hAnsi="Century Gothic"/>
          <w:i/>
          <w:iCs/>
        </w:rPr>
      </w:pPr>
      <w:r w:rsidRPr="008E6E8F">
        <w:rPr>
          <w:rFonts w:ascii="Century Gothic" w:hAnsi="Century Gothic"/>
          <w:i/>
          <w:iCs/>
        </w:rPr>
        <w:t>You have volunteered to complete a</w:t>
      </w:r>
      <w:r w:rsidR="0057467D">
        <w:rPr>
          <w:rFonts w:ascii="Century Gothic" w:hAnsi="Century Gothic"/>
          <w:i/>
          <w:iCs/>
        </w:rPr>
        <w:t xml:space="preserve"> draft</w:t>
      </w:r>
      <w:r w:rsidRPr="008E6E8F">
        <w:rPr>
          <w:rFonts w:ascii="Century Gothic" w:hAnsi="Century Gothic"/>
          <w:i/>
          <w:iCs/>
        </w:rPr>
        <w:t xml:space="preserve"> 5-yearly inspection report</w:t>
      </w:r>
      <w:r w:rsidR="00825905" w:rsidRPr="008E6E8F">
        <w:rPr>
          <w:rFonts w:ascii="Century Gothic" w:hAnsi="Century Gothic"/>
          <w:i/>
          <w:iCs/>
        </w:rPr>
        <w:t xml:space="preserve"> as part of a pilot for the S</w:t>
      </w:r>
      <w:r w:rsidR="00235824">
        <w:rPr>
          <w:rFonts w:ascii="Century Gothic" w:hAnsi="Century Gothic"/>
          <w:i/>
          <w:iCs/>
        </w:rPr>
        <w:t xml:space="preserve">cottish </w:t>
      </w:r>
      <w:r w:rsidR="00825905" w:rsidRPr="008E6E8F">
        <w:rPr>
          <w:rFonts w:ascii="Century Gothic" w:hAnsi="Century Gothic"/>
          <w:i/>
          <w:iCs/>
        </w:rPr>
        <w:t>G</w:t>
      </w:r>
      <w:r w:rsidR="00235824">
        <w:rPr>
          <w:rFonts w:ascii="Century Gothic" w:hAnsi="Century Gothic"/>
          <w:i/>
          <w:iCs/>
        </w:rPr>
        <w:t>overnment</w:t>
      </w:r>
      <w:r w:rsidR="00825905" w:rsidRPr="008E6E8F">
        <w:rPr>
          <w:rFonts w:ascii="Century Gothic" w:hAnsi="Century Gothic"/>
          <w:i/>
          <w:iCs/>
        </w:rPr>
        <w:t xml:space="preserve"> Tenement Working Group</w:t>
      </w:r>
      <w:r w:rsidR="00235824">
        <w:rPr>
          <w:rFonts w:ascii="Century Gothic" w:hAnsi="Century Gothic"/>
          <w:i/>
          <w:iCs/>
        </w:rPr>
        <w:t>, Subgroup 5</w:t>
      </w:r>
      <w:r w:rsidR="00825905" w:rsidRPr="008E6E8F">
        <w:rPr>
          <w:rFonts w:ascii="Century Gothic" w:hAnsi="Century Gothic"/>
          <w:i/>
          <w:iCs/>
        </w:rPr>
        <w:t>. The aim of the p</w:t>
      </w:r>
      <w:r w:rsidRPr="008E6E8F">
        <w:rPr>
          <w:rFonts w:ascii="Century Gothic" w:hAnsi="Century Gothic"/>
          <w:i/>
          <w:iCs/>
        </w:rPr>
        <w:t xml:space="preserve">ilot </w:t>
      </w:r>
      <w:r w:rsidR="00E44977" w:rsidRPr="008E6E8F">
        <w:rPr>
          <w:rFonts w:ascii="Century Gothic" w:hAnsi="Century Gothic"/>
          <w:i/>
          <w:iCs/>
        </w:rPr>
        <w:t>is to</w:t>
      </w:r>
      <w:r w:rsidRPr="008E6E8F">
        <w:rPr>
          <w:rFonts w:ascii="Century Gothic" w:hAnsi="Century Gothic"/>
          <w:i/>
          <w:iCs/>
        </w:rPr>
        <w:t xml:space="preserve"> build up understanding of usability and co-curate the </w:t>
      </w:r>
      <w:r w:rsidR="00E44977" w:rsidRPr="008E6E8F">
        <w:rPr>
          <w:rFonts w:ascii="Century Gothic" w:hAnsi="Century Gothic"/>
          <w:i/>
          <w:iCs/>
        </w:rPr>
        <w:t xml:space="preserve">accompanying </w:t>
      </w:r>
      <w:r w:rsidRPr="008E6E8F">
        <w:rPr>
          <w:rFonts w:ascii="Century Gothic" w:hAnsi="Century Gothic"/>
          <w:i/>
          <w:iCs/>
        </w:rPr>
        <w:t xml:space="preserve">Guidance Note. </w:t>
      </w:r>
      <w:r w:rsidR="00DC46B0">
        <w:rPr>
          <w:rFonts w:ascii="Century Gothic" w:hAnsi="Century Gothic"/>
          <w:i/>
          <w:iCs/>
        </w:rPr>
        <w:t>There will be a subsequent pilot to gather feedback on the guidance note.</w:t>
      </w:r>
    </w:p>
    <w:p w14:paraId="0B42ABC6" w14:textId="77777777" w:rsidR="008E6E8F" w:rsidRPr="008E6E8F" w:rsidRDefault="008E6E8F" w:rsidP="003E4966">
      <w:pPr>
        <w:rPr>
          <w:rFonts w:ascii="Century Gothic" w:hAnsi="Century Gothic"/>
          <w:i/>
          <w:iCs/>
        </w:rPr>
      </w:pPr>
    </w:p>
    <w:p w14:paraId="27083BF2" w14:textId="2B4C1667" w:rsidR="006871D1" w:rsidRPr="008E6E8F" w:rsidRDefault="00F81663" w:rsidP="003E4966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871D1" w:rsidRPr="008E6E8F">
        <w:rPr>
          <w:rFonts w:ascii="Century Gothic" w:hAnsi="Century Gothic"/>
        </w:rPr>
        <w:t>onsider</w:t>
      </w:r>
      <w:r>
        <w:rPr>
          <w:rFonts w:ascii="Century Gothic" w:hAnsi="Century Gothic"/>
        </w:rPr>
        <w:t>ations</w:t>
      </w:r>
      <w:r w:rsidR="006871D1" w:rsidRPr="008E6E8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="006871D1" w:rsidRPr="008E6E8F">
        <w:rPr>
          <w:rFonts w:ascii="Century Gothic" w:hAnsi="Century Gothic"/>
        </w:rPr>
        <w:t xml:space="preserve"> completing the report:</w:t>
      </w:r>
    </w:p>
    <w:p w14:paraId="41C36988" w14:textId="17D5F42E" w:rsidR="006871D1" w:rsidRPr="008E6E8F" w:rsidRDefault="006871D1" w:rsidP="00A27CC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8E6E8F">
        <w:rPr>
          <w:rFonts w:ascii="Century Gothic" w:hAnsi="Century Gothic"/>
        </w:rPr>
        <w:t>The report should be completed by</w:t>
      </w:r>
      <w:r w:rsidR="0006358B" w:rsidRPr="008E6E8F">
        <w:rPr>
          <w:rFonts w:ascii="Century Gothic" w:hAnsi="Century Gothic"/>
        </w:rPr>
        <w:t xml:space="preserve"> a </w:t>
      </w:r>
      <w:r w:rsidR="00B016A2" w:rsidRPr="008E6E8F">
        <w:rPr>
          <w:rFonts w:ascii="Century Gothic" w:hAnsi="Century Gothic"/>
        </w:rPr>
        <w:t xml:space="preserve">competent person </w:t>
      </w:r>
      <w:r w:rsidR="00B016A2">
        <w:rPr>
          <w:rFonts w:ascii="Century Gothic" w:hAnsi="Century Gothic"/>
        </w:rPr>
        <w:t xml:space="preserve">as defined in </w:t>
      </w:r>
      <w:r w:rsidR="0006358B" w:rsidRPr="008E6E8F">
        <w:rPr>
          <w:rFonts w:ascii="Century Gothic" w:hAnsi="Century Gothic"/>
        </w:rPr>
        <w:t>BS7913 with appropriate Professional Indemnity Insurance.</w:t>
      </w:r>
    </w:p>
    <w:p w14:paraId="0A7E6CA3" w14:textId="7B480079" w:rsidR="0057467D" w:rsidRDefault="00580F18" w:rsidP="00F142C8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8E6E8F">
        <w:rPr>
          <w:rFonts w:ascii="Century Gothic" w:hAnsi="Century Gothic"/>
        </w:rPr>
        <w:t xml:space="preserve">The </w:t>
      </w:r>
      <w:r w:rsidR="00274673" w:rsidRPr="008E6E8F">
        <w:rPr>
          <w:rFonts w:ascii="Century Gothic" w:hAnsi="Century Gothic"/>
        </w:rPr>
        <w:t xml:space="preserve">condition </w:t>
      </w:r>
      <w:r w:rsidRPr="008E6E8F">
        <w:rPr>
          <w:rFonts w:ascii="Century Gothic" w:hAnsi="Century Gothic"/>
        </w:rPr>
        <w:t>benchmark for the inspection is the Tolerable Standard</w:t>
      </w:r>
      <w:r w:rsidR="00235824">
        <w:rPr>
          <w:rFonts w:ascii="Century Gothic" w:hAnsi="Century Gothic"/>
        </w:rPr>
        <w:t xml:space="preserve">. </w:t>
      </w:r>
      <w:r w:rsidR="00F81663">
        <w:rPr>
          <w:rFonts w:ascii="Century Gothic" w:hAnsi="Century Gothic"/>
        </w:rPr>
        <w:t>N</w:t>
      </w:r>
      <w:r w:rsidR="00274673" w:rsidRPr="008E6E8F">
        <w:rPr>
          <w:rFonts w:ascii="Century Gothic" w:hAnsi="Century Gothic"/>
        </w:rPr>
        <w:t>otes below.</w:t>
      </w:r>
    </w:p>
    <w:p w14:paraId="1E54E8F8" w14:textId="77777777" w:rsidR="00F81663" w:rsidRPr="00F81663" w:rsidRDefault="00F81663" w:rsidP="00F81663">
      <w:pPr>
        <w:pStyle w:val="ListParagraph"/>
        <w:rPr>
          <w:rFonts w:ascii="Century Gothic" w:hAnsi="Century Gothic"/>
        </w:rPr>
      </w:pPr>
    </w:p>
    <w:p w14:paraId="135AD44A" w14:textId="79AE3C13" w:rsidR="00F142C8" w:rsidRPr="008E6E8F" w:rsidRDefault="00F142C8" w:rsidP="00F142C8">
      <w:pPr>
        <w:rPr>
          <w:rFonts w:ascii="Century Gothic" w:hAnsi="Century Gothic"/>
        </w:rPr>
      </w:pPr>
      <w:r w:rsidRPr="008E6E8F">
        <w:rPr>
          <w:rFonts w:ascii="Century Gothic" w:hAnsi="Century Gothic"/>
        </w:rPr>
        <w:t>Questions for BS7913 competent person</w:t>
      </w:r>
      <w:r w:rsidR="00DA4E55">
        <w:rPr>
          <w:rFonts w:ascii="Century Gothic" w:hAnsi="Century Gothic"/>
        </w:rPr>
        <w:t xml:space="preserve"> undertaking the report</w:t>
      </w:r>
      <w:r w:rsidRPr="008E6E8F">
        <w:rPr>
          <w:rFonts w:ascii="Century Gothic" w:hAnsi="Century Gothic"/>
        </w:rPr>
        <w:t>:</w:t>
      </w:r>
    </w:p>
    <w:p w14:paraId="187C65F8" w14:textId="155C3853" w:rsidR="00E701B9" w:rsidRDefault="002275D5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Is an Owners Association in place already? Will one be set up during the </w:t>
      </w:r>
      <w:r w:rsidR="00E701B9">
        <w:rPr>
          <w:rFonts w:ascii="Century Gothic" w:hAnsi="Century Gothic"/>
        </w:rPr>
        <w:t xml:space="preserve">pilot? </w:t>
      </w:r>
      <w:r w:rsidR="00F33658">
        <w:rPr>
          <w:rFonts w:ascii="Century Gothic" w:hAnsi="Century Gothic"/>
        </w:rPr>
        <w:t xml:space="preserve">A sample constitution is available here: </w:t>
      </w:r>
      <w:hyperlink r:id="rId10" w:anchor=":~:text=The%20name%20of%20the%20Association,Property%20Address%5D%20Owners'%20Association.&amp;text=The%20objectives%20of%20the%20Association,the%20immediate%20area%20around%20it" w:history="1">
        <w:r w:rsidR="00F33658" w:rsidRPr="00C12E05">
          <w:rPr>
            <w:rStyle w:val="Hyperlink"/>
            <w:rFonts w:ascii="Century Gothic" w:hAnsi="Century Gothic"/>
          </w:rPr>
          <w:t>https://underoneroof.scot/owners-association-sample-constitution/#:~:text=The%20name%20of%20the%20Association,Property%20Address%5D%20Owners'%20Association.&amp;text=The%20objectives%20of%20the%20Association,the%20immediate%20area%20around%20it</w:t>
        </w:r>
      </w:hyperlink>
      <w:r w:rsidR="00F33658" w:rsidRPr="00F33658">
        <w:rPr>
          <w:rFonts w:ascii="Century Gothic" w:hAnsi="Century Gothic"/>
        </w:rPr>
        <w:t>.</w:t>
      </w:r>
    </w:p>
    <w:p w14:paraId="0611D917" w14:textId="77777777" w:rsidR="00F33658" w:rsidRDefault="00F33658" w:rsidP="00F33658">
      <w:pPr>
        <w:pStyle w:val="ListParagraph"/>
        <w:rPr>
          <w:rFonts w:ascii="Century Gothic" w:hAnsi="Century Gothic"/>
        </w:rPr>
      </w:pPr>
    </w:p>
    <w:p w14:paraId="284FAF99" w14:textId="41E68623" w:rsidR="00A27CCC" w:rsidRDefault="002275D5" w:rsidP="00DC46B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What is the split of tenure of the </w:t>
      </w:r>
      <w:r w:rsidR="00DA4E55">
        <w:rPr>
          <w:rFonts w:ascii="Century Gothic" w:hAnsi="Century Gothic"/>
        </w:rPr>
        <w:t>tenement? (</w:t>
      </w:r>
      <w:r w:rsidR="006B0AFC">
        <w:rPr>
          <w:rFonts w:ascii="Century Gothic" w:hAnsi="Century Gothic"/>
        </w:rPr>
        <w:t>Owner Occupier, Private Landlord</w:t>
      </w:r>
      <w:r w:rsidR="00FD1826">
        <w:rPr>
          <w:rFonts w:ascii="Century Gothic" w:hAnsi="Century Gothic"/>
        </w:rPr>
        <w:t xml:space="preserve"> with/without Property Manager</w:t>
      </w:r>
      <w:r w:rsidR="006B0AFC">
        <w:rPr>
          <w:rFonts w:ascii="Century Gothic" w:hAnsi="Century Gothic"/>
        </w:rPr>
        <w:t>, Social Housing Landlord, Local Authority</w:t>
      </w:r>
      <w:r w:rsidR="00FD1826">
        <w:rPr>
          <w:rFonts w:ascii="Century Gothic" w:hAnsi="Century Gothic"/>
        </w:rPr>
        <w:t>…</w:t>
      </w:r>
      <w:r w:rsidR="006B0AFC">
        <w:rPr>
          <w:rFonts w:ascii="Century Gothic" w:hAnsi="Century Gothic"/>
        </w:rPr>
        <w:t>)</w:t>
      </w:r>
    </w:p>
    <w:p w14:paraId="095A4573" w14:textId="77777777" w:rsidR="00DC46B0" w:rsidRPr="00DC46B0" w:rsidRDefault="00DC46B0" w:rsidP="00DC46B0">
      <w:pPr>
        <w:pStyle w:val="ListParagraph"/>
        <w:rPr>
          <w:rFonts w:ascii="Century Gothic" w:hAnsi="Century Gothic"/>
        </w:rPr>
      </w:pPr>
    </w:p>
    <w:p w14:paraId="594C2CC9" w14:textId="2ACD2F4C" w:rsidR="00F142C8" w:rsidRDefault="0079049C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Style w:val="legds"/>
          <w:rFonts w:ascii="Century Gothic" w:eastAsiaTheme="majorEastAsia" w:hAnsi="Century Gothic" w:cs="Arial"/>
          <w:color w:val="1E1E1E"/>
        </w:rPr>
        <w:t xml:space="preserve">It is understood if this is the first 5-yearly inspection, professional judgement will be required to manage the backlog condition and the budget of the tenement owners, in the knowledge that there will be recurring 5-yearly inspections. </w:t>
      </w:r>
      <w:r w:rsidR="00C07CFB">
        <w:rPr>
          <w:rStyle w:val="legds"/>
          <w:rFonts w:ascii="Century Gothic" w:eastAsiaTheme="majorEastAsia" w:hAnsi="Century Gothic" w:cs="Arial"/>
          <w:color w:val="1E1E1E"/>
        </w:rPr>
        <w:t xml:space="preserve">Are there existing funds? </w:t>
      </w:r>
      <w:r w:rsidR="00110AD2" w:rsidRPr="008E6E8F">
        <w:rPr>
          <w:rFonts w:ascii="Century Gothic" w:hAnsi="Century Gothic"/>
        </w:rPr>
        <w:t xml:space="preserve">What </w:t>
      </w:r>
      <w:r w:rsidR="00C07CFB">
        <w:rPr>
          <w:rFonts w:ascii="Century Gothic" w:hAnsi="Century Gothic"/>
        </w:rPr>
        <w:t>are</w:t>
      </w:r>
      <w:r w:rsidR="00110AD2" w:rsidRPr="008E6E8F">
        <w:rPr>
          <w:rFonts w:ascii="Century Gothic" w:hAnsi="Century Gothic"/>
        </w:rPr>
        <w:t xml:space="preserve"> the proposed funding mechanism for the reserve fund, maintenance fund and float? (</w:t>
      </w:r>
      <w:r w:rsidR="00287250" w:rsidRPr="008E6E8F">
        <w:rPr>
          <w:rFonts w:ascii="Century Gothic" w:hAnsi="Century Gothic"/>
        </w:rPr>
        <w:t>self-funding</w:t>
      </w:r>
      <w:r w:rsidR="00110AD2" w:rsidRPr="008E6E8F">
        <w:rPr>
          <w:rFonts w:ascii="Century Gothic" w:hAnsi="Century Gothic"/>
        </w:rPr>
        <w:t xml:space="preserve">, grant, bank loan, </w:t>
      </w:r>
      <w:r w:rsidR="00287250" w:rsidRPr="008E6E8F">
        <w:rPr>
          <w:rFonts w:ascii="Century Gothic" w:hAnsi="Century Gothic"/>
        </w:rPr>
        <w:t>remortgage</w:t>
      </w:r>
      <w:r w:rsidR="00110AD2" w:rsidRPr="008E6E8F">
        <w:rPr>
          <w:rFonts w:ascii="Century Gothic" w:hAnsi="Century Gothic"/>
        </w:rPr>
        <w:t>, unviable</w:t>
      </w:r>
      <w:r w:rsidR="00287250" w:rsidRPr="008E6E8F">
        <w:rPr>
          <w:rFonts w:ascii="Century Gothic" w:hAnsi="Century Gothic"/>
        </w:rPr>
        <w:t xml:space="preserve"> and looking to </w:t>
      </w:r>
      <w:r w:rsidR="00110AD2" w:rsidRPr="008E6E8F">
        <w:rPr>
          <w:rFonts w:ascii="Century Gothic" w:hAnsi="Century Gothic"/>
        </w:rPr>
        <w:t>sell</w:t>
      </w:r>
      <w:r w:rsidR="00287250" w:rsidRPr="008E6E8F">
        <w:rPr>
          <w:rFonts w:ascii="Century Gothic" w:hAnsi="Century Gothic"/>
        </w:rPr>
        <w:t>…</w:t>
      </w:r>
      <w:r w:rsidR="00110AD2" w:rsidRPr="008E6E8F">
        <w:rPr>
          <w:rFonts w:ascii="Century Gothic" w:hAnsi="Century Gothic"/>
        </w:rPr>
        <w:t>)</w:t>
      </w:r>
      <w:r w:rsidRPr="00580F18">
        <w:rPr>
          <w:rStyle w:val="legds"/>
          <w:rFonts w:ascii="Century Gothic" w:eastAsiaTheme="majorEastAsia" w:hAnsi="Century Gothic" w:cs="Arial"/>
          <w:color w:val="1E1E1E"/>
        </w:rPr>
        <w:t xml:space="preserve"> </w:t>
      </w:r>
    </w:p>
    <w:p w14:paraId="51468E57" w14:textId="77777777" w:rsidR="00A27CCC" w:rsidRPr="008E6E8F" w:rsidRDefault="00A27CCC" w:rsidP="00A27CCC">
      <w:pPr>
        <w:pStyle w:val="ListParagraph"/>
        <w:rPr>
          <w:rFonts w:ascii="Century Gothic" w:hAnsi="Century Gothic"/>
        </w:rPr>
      </w:pPr>
    </w:p>
    <w:p w14:paraId="6FC1E34C" w14:textId="5687AF6B" w:rsidR="00287250" w:rsidRDefault="00287250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8E6E8F">
        <w:rPr>
          <w:rFonts w:ascii="Century Gothic" w:hAnsi="Century Gothic"/>
        </w:rPr>
        <w:t xml:space="preserve">Any discussions with existing Property Managers or Factors involved in the pilot </w:t>
      </w:r>
      <w:r w:rsidR="00464B3E" w:rsidRPr="008E6E8F">
        <w:rPr>
          <w:rFonts w:ascii="Century Gothic" w:hAnsi="Century Gothic"/>
        </w:rPr>
        <w:t>tenement</w:t>
      </w:r>
      <w:r w:rsidRPr="008E6E8F">
        <w:rPr>
          <w:rFonts w:ascii="Century Gothic" w:hAnsi="Century Gothic"/>
        </w:rPr>
        <w:t>?</w:t>
      </w:r>
    </w:p>
    <w:p w14:paraId="235F22B7" w14:textId="77777777" w:rsidR="00A27CCC" w:rsidRPr="008E6E8F" w:rsidRDefault="00A27CCC" w:rsidP="00A27CCC">
      <w:pPr>
        <w:pStyle w:val="ListParagraph"/>
        <w:rPr>
          <w:rFonts w:ascii="Century Gothic" w:hAnsi="Century Gothic"/>
        </w:rPr>
      </w:pPr>
    </w:p>
    <w:p w14:paraId="71F3F326" w14:textId="2697224D" w:rsidR="00287250" w:rsidRDefault="00464B3E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8E6E8F">
        <w:rPr>
          <w:rFonts w:ascii="Century Gothic" w:hAnsi="Century Gothic"/>
        </w:rPr>
        <w:t xml:space="preserve">Does the tenement have </w:t>
      </w:r>
      <w:r w:rsidR="00D85108">
        <w:rPr>
          <w:rFonts w:ascii="Century Gothic" w:hAnsi="Century Gothic"/>
        </w:rPr>
        <w:t>Common Insurance</w:t>
      </w:r>
      <w:r w:rsidRPr="008E6E8F">
        <w:rPr>
          <w:rFonts w:ascii="Century Gothic" w:hAnsi="Century Gothic"/>
        </w:rPr>
        <w:t xml:space="preserve">? </w:t>
      </w:r>
    </w:p>
    <w:p w14:paraId="1CF8FFC8" w14:textId="77777777" w:rsidR="00A27CCC" w:rsidRDefault="00A27CCC" w:rsidP="00A27CCC">
      <w:pPr>
        <w:pStyle w:val="ListParagraph"/>
        <w:rPr>
          <w:rFonts w:ascii="Century Gothic" w:hAnsi="Century Gothic"/>
        </w:rPr>
      </w:pPr>
    </w:p>
    <w:p w14:paraId="6ADA7000" w14:textId="33771ADC" w:rsidR="00A27CCC" w:rsidRDefault="00A27CCC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Any comments</w:t>
      </w:r>
      <w:r w:rsidR="0039051A">
        <w:rPr>
          <w:rFonts w:ascii="Century Gothic" w:hAnsi="Century Gothic"/>
        </w:rPr>
        <w:t xml:space="preserve"> on the Tolerable Standard as a condition benchmark</w:t>
      </w:r>
      <w:r>
        <w:rPr>
          <w:rFonts w:ascii="Century Gothic" w:hAnsi="Century Gothic"/>
        </w:rPr>
        <w:t>?</w:t>
      </w:r>
    </w:p>
    <w:p w14:paraId="51C1FBD2" w14:textId="77777777" w:rsidR="00DC46B0" w:rsidRPr="00DC46B0" w:rsidRDefault="00DC46B0" w:rsidP="00DC46B0">
      <w:pPr>
        <w:pStyle w:val="ListParagraph"/>
        <w:rPr>
          <w:rFonts w:ascii="Century Gothic" w:hAnsi="Century Gothic"/>
        </w:rPr>
      </w:pPr>
    </w:p>
    <w:p w14:paraId="07BF5239" w14:textId="77AE7871" w:rsidR="00DC46B0" w:rsidRPr="008E6E8F" w:rsidRDefault="00DC46B0" w:rsidP="00A27CC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Would you be happy to be further involved in a subsequent pilot?</w:t>
      </w:r>
    </w:p>
    <w:p w14:paraId="219C4163" w14:textId="77777777" w:rsidR="0057467D" w:rsidRDefault="0057467D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ds"/>
          <w:rFonts w:ascii="Century Gothic" w:eastAsiaTheme="majorEastAsia" w:hAnsi="Century Gothic" w:cs="Arial"/>
          <w:b/>
          <w:bCs/>
          <w:color w:val="1E1E1E"/>
          <w:sz w:val="22"/>
          <w:szCs w:val="22"/>
        </w:rPr>
      </w:pPr>
    </w:p>
    <w:p w14:paraId="34449706" w14:textId="77777777" w:rsidR="00E51E1C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ds"/>
          <w:rFonts w:ascii="Century Gothic" w:eastAsiaTheme="majorEastAsia" w:hAnsi="Century Gothic" w:cs="Arial"/>
          <w:b/>
          <w:bCs/>
          <w:color w:val="1E1E1E"/>
          <w:sz w:val="22"/>
          <w:szCs w:val="22"/>
        </w:rPr>
      </w:pPr>
    </w:p>
    <w:p w14:paraId="2AA0B2E5" w14:textId="2F1A5E31" w:rsidR="001B1DF3" w:rsidRPr="00580F18" w:rsidRDefault="00A360A3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ds"/>
          <w:rFonts w:ascii="Century Gothic" w:eastAsiaTheme="majorEastAsia" w:hAnsi="Century Gothic" w:cs="Arial"/>
          <w:b/>
          <w:b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lastRenderedPageBreak/>
        <w:t xml:space="preserve">Condition </w:t>
      </w:r>
      <w:r w:rsidR="006E6482" w:rsidRPr="00580F18">
        <w:rPr>
          <w:rStyle w:val="legds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Benchmark</w:t>
      </w:r>
    </w:p>
    <w:p w14:paraId="5CD3D5E8" w14:textId="528D0115" w:rsidR="006E6482" w:rsidRPr="00580F18" w:rsidRDefault="006E6482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The </w:t>
      </w:r>
      <w:r w:rsidR="00A360A3"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condition 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benchmark for arriving at </w:t>
      </w:r>
      <w:r w:rsidR="00D324A5"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recommendations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in the report is to bring the property to the </w:t>
      </w:r>
      <w:r w:rsidR="00EF15A9"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T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olerable </w:t>
      </w:r>
      <w:r w:rsidR="00EF15A9"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S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tandard</w:t>
      </w:r>
      <w:r w:rsidR="00766E73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as defined in the </w:t>
      </w:r>
      <w:r w:rsidR="00766E73" w:rsidRPr="00766E73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Housing (Scotland) Act 1987</w:t>
      </w:r>
      <w:r w:rsidR="00766E73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and subsequently amended, 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and give a plan to </w:t>
      </w:r>
      <w:r w:rsidRPr="007D5F47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keep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it </w:t>
      </w:r>
      <w:r w:rsidR="00766E73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at this condition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for the duration of the 5 yearly report.</w:t>
      </w:r>
      <w:r w:rsidR="003C4F65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Th</w:t>
      </w:r>
      <w:r w:rsidR="00F74C58"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>e report</w:t>
      </w:r>
      <w:r w:rsidRPr="00580F18"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  <w:t xml:space="preserve"> is to cover the common and mutual parts only. The elements of the tolerable standard which relate to these elements are:</w:t>
      </w:r>
    </w:p>
    <w:p w14:paraId="6200A9EB" w14:textId="77777777" w:rsidR="001B1DF3" w:rsidRPr="00580F18" w:rsidRDefault="001B1DF3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ds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0C50642A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(a)is structurally stable;</w:t>
      </w:r>
    </w:p>
    <w:p w14:paraId="031F63D2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(b)is substantially free from rising or penetrating damp;</w:t>
      </w:r>
    </w:p>
    <w:p w14:paraId="067B9D90" w14:textId="21C40226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>[</w:t>
      </w:r>
      <w:hyperlink r:id="rId11" w:anchor="commentary-key-34b43b81c3ab4b5cba5149921494ce5f" w:tooltip="View the commentary text for this item" w:history="1">
        <w:r w:rsidRPr="00580F18">
          <w:rPr>
            <w:rStyle w:val="Hyperlink"/>
            <w:rFonts w:ascii="Century Gothic" w:eastAsiaTheme="majorEastAsia" w:hAnsi="Century Gothic" w:cs="Arial"/>
            <w:b/>
            <w:bCs/>
            <w:i/>
            <w:iCs/>
            <w:color w:val="0A64D7"/>
            <w:sz w:val="22"/>
            <w:szCs w:val="22"/>
          </w:rPr>
          <w:t>F2</w:t>
        </w:r>
      </w:hyperlink>
      <w:r w:rsidRPr="00580F18"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(ca)has satisfactory thermal insulation;</w:t>
      </w:r>
      <w:r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>]</w:t>
      </w:r>
      <w:r w:rsidR="00660A7D"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 xml:space="preserve"> </w:t>
      </w:r>
    </w:p>
    <w:p w14:paraId="4F583E81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(d)has an adequate piped supply of wholesome water available within the house;</w:t>
      </w:r>
    </w:p>
    <w:p w14:paraId="0CE24395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(g)has an effective system for the drainage and disposal of foul and surface water;</w:t>
      </w:r>
    </w:p>
    <w:p w14:paraId="5F4752D7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>[</w:t>
      </w:r>
      <w:hyperlink r:id="rId12" w:anchor="commentary-key-78a7fbe1fbd3edf99c62b0ea971cfbef" w:tooltip="View the commentary text for this item" w:history="1">
        <w:r w:rsidRPr="00580F18">
          <w:rPr>
            <w:rStyle w:val="Hyperlink"/>
            <w:rFonts w:ascii="Century Gothic" w:eastAsiaTheme="majorEastAsia" w:hAnsi="Century Gothic" w:cs="Arial"/>
            <w:b/>
            <w:bCs/>
            <w:i/>
            <w:iCs/>
            <w:color w:val="0A64D7"/>
            <w:sz w:val="22"/>
            <w:szCs w:val="22"/>
          </w:rPr>
          <w:t>F5</w:t>
        </w:r>
      </w:hyperlink>
      <w:r w:rsidRPr="00580F18"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(ga)in the case of a house having a supply of electricity, complies with the relevant requirements in relation to the electrical installation for the purposes of that supply;</w:t>
      </w:r>
    </w:p>
    <w:p w14:paraId="4E41E649" w14:textId="77777777" w:rsidR="00314710" w:rsidRPr="00580F18" w:rsidRDefault="00314710" w:rsidP="00314710">
      <w:pPr>
        <w:pStyle w:val="legrhs"/>
        <w:shd w:val="clear" w:color="auto" w:fill="FFFFFF"/>
        <w:spacing w:before="0" w:beforeAutospacing="0" w:after="120" w:afterAutospacing="0" w:line="360" w:lineRule="atLeast"/>
        <w:jc w:val="both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“the electrical installation” is the electrical wiring and associated components and fittings, but excludes equipment and appliances;</w:t>
      </w:r>
    </w:p>
    <w:p w14:paraId="512C52BD" w14:textId="77777777" w:rsidR="00314710" w:rsidRPr="00580F18" w:rsidRDefault="00314710" w:rsidP="00314710">
      <w:pPr>
        <w:pStyle w:val="legrhs"/>
        <w:shd w:val="clear" w:color="auto" w:fill="FFFFFF"/>
        <w:spacing w:before="0" w:beforeAutospacing="0" w:after="120" w:afterAutospacing="0" w:line="360" w:lineRule="atLeast"/>
        <w:jc w:val="both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“the relevant requirements” are that the electrical installation is adequate and safe to use;</w:t>
      </w:r>
      <w:r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>]</w:t>
      </w:r>
    </w:p>
    <w:p w14:paraId="38E4D34F" w14:textId="77777777" w:rsidR="00314710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ds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(i)has satisfactory access to all external doors and outbuildings;</w:t>
      </w:r>
    </w:p>
    <w:p w14:paraId="7F151BBC" w14:textId="1E4027B9" w:rsidR="0051121E" w:rsidRPr="00580F18" w:rsidRDefault="003147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</w:pPr>
      <w:r w:rsidRPr="00580F18">
        <w:rPr>
          <w:rStyle w:val="legchangedelimiter"/>
          <w:rFonts w:ascii="Century Gothic" w:eastAsiaTheme="majorEastAsia" w:hAnsi="Century Gothic" w:cs="Arial"/>
          <w:b/>
          <w:bCs/>
          <w:i/>
          <w:iCs/>
          <w:color w:val="000000"/>
          <w:sz w:val="22"/>
          <w:szCs w:val="22"/>
        </w:rPr>
        <w:t>[</w:t>
      </w:r>
      <w:hyperlink r:id="rId13" w:anchor="commentary-key-70cb906938daff01d90dddedb545a8d6" w:tooltip="View the commentary text for this item" w:history="1">
        <w:r w:rsidRPr="00580F18">
          <w:rPr>
            <w:rStyle w:val="Hyperlink"/>
            <w:rFonts w:ascii="Century Gothic" w:eastAsiaTheme="majorEastAsia" w:hAnsi="Century Gothic" w:cs="Arial"/>
            <w:b/>
            <w:bCs/>
            <w:i/>
            <w:iCs/>
            <w:color w:val="0A64D7"/>
            <w:sz w:val="22"/>
            <w:szCs w:val="22"/>
          </w:rPr>
          <w:t>F6</w:t>
        </w:r>
      </w:hyperlink>
      <w:r w:rsidRPr="00580F18">
        <w:rPr>
          <w:rStyle w:val="legaddition"/>
          <w:rFonts w:ascii="Century Gothic" w:eastAsiaTheme="majorEastAsia" w:hAnsi="Century Gothic" w:cs="Arial"/>
          <w:i/>
          <w:iCs/>
          <w:color w:val="1E1E1E"/>
          <w:sz w:val="22"/>
          <w:szCs w:val="22"/>
        </w:rPr>
        <w:t>(j)has satisfactory equipment installed for detecting, and for giving warning of, fire or suspected fire;</w:t>
      </w:r>
    </w:p>
    <w:p w14:paraId="72ABD980" w14:textId="77777777" w:rsidR="006E6482" w:rsidRPr="00580F18" w:rsidRDefault="006E6482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4D17BADD" w14:textId="482387FE" w:rsidR="006E6482" w:rsidRPr="00580F18" w:rsidRDefault="009C7C1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It is proposed that e</w:t>
      </w:r>
      <w:r w:rsidR="006E6482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xamples of how these </w:t>
      </w:r>
      <w:r w:rsidR="00A736F3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definitions</w:t>
      </w:r>
      <w:r w:rsidR="00C00FC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</w:t>
      </w:r>
      <w:r w:rsidR="00A736F3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can</w:t>
      </w:r>
      <w:r w:rsidR="00D95214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</w:t>
      </w:r>
      <w:r w:rsidR="00C00FC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be</w:t>
      </w:r>
      <w:r w:rsidR="00D95214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en met will be</w:t>
      </w:r>
      <w:r w:rsidR="00C00FC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provided in a </w:t>
      </w:r>
      <w:r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subsequent </w:t>
      </w:r>
      <w:r w:rsidR="00C00FC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guidance note, but ultimately it </w:t>
      </w:r>
      <w:r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will be</w:t>
      </w:r>
      <w:r w:rsidR="00C00FC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up to the judgement of the competent person carrying out the exercise. </w:t>
      </w:r>
    </w:p>
    <w:p w14:paraId="327C8580" w14:textId="01F3C687" w:rsidR="00C00FC8" w:rsidRDefault="00C00FC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50381C9C" w14:textId="77777777" w:rsidR="00E51E1C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234690C8" w14:textId="77777777" w:rsidR="00E51E1C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0EDEFBD5" w14:textId="77777777" w:rsidR="00E51E1C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2933B383" w14:textId="77777777" w:rsidR="00E51E1C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5607F461" w14:textId="77777777" w:rsidR="00E51E1C" w:rsidRPr="00580F18" w:rsidRDefault="00E51E1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41D6E4B4" w14:textId="7A669AEC" w:rsidR="00136037" w:rsidRPr="00580F18" w:rsidRDefault="00136037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lastRenderedPageBreak/>
        <w:t xml:space="preserve">As an example of how different tenures are affected by </w:t>
      </w:r>
      <w:r w:rsidR="00462539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different pieces of legislation, the text below </w:t>
      </w:r>
      <w:r w:rsidR="00345E9B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outlines how insulation is </w:t>
      </w:r>
      <w:r w:rsidR="0060346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considered by </w:t>
      </w:r>
      <w:r w:rsidR="000D0C2C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laws concerning existing buildings. </w:t>
      </w:r>
    </w:p>
    <w:p w14:paraId="69A09E35" w14:textId="77777777" w:rsidR="000D0C2C" w:rsidRPr="00580F18" w:rsidRDefault="000D0C2C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48B4EB4B" w14:textId="0514AC21" w:rsidR="001E2BE5" w:rsidRPr="00580F18" w:rsidRDefault="001E2BE5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Tolerable Standard</w:t>
      </w:r>
      <w:r w:rsidR="003F430C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applicable</w:t>
      </w:r>
      <w:r w:rsidR="00192BE8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to private owner </w:t>
      </w:r>
      <w:r w:rsidR="006447BC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occupiers</w:t>
      </w:r>
    </w:p>
    <w:p w14:paraId="1F3E95AD" w14:textId="3E6B6DCD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The Tolerable Standard </w:t>
      </w:r>
      <w:r w:rsidR="00192BE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applies to all housing</w:t>
      </w:r>
      <w:r w:rsidR="006447BC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. There is no definition as to what “satisfactory thermal insulation” means.</w:t>
      </w:r>
      <w:r w:rsidR="00462539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There is therefore no current legal obligation to insulate existing buildings, and to the 5 yearly inspection report would not comment on it. </w:t>
      </w:r>
    </w:p>
    <w:p w14:paraId="0E7EF671" w14:textId="77777777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1B52FB56" w14:textId="407E7312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Tolerable Standard </w:t>
      </w:r>
      <w:r w:rsidR="003F430C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as interpreted for</w:t>
      </w:r>
      <w:r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Social Housing</w:t>
      </w:r>
    </w:p>
    <w:p w14:paraId="721E8EC6" w14:textId="361A4DAC" w:rsidR="007F47E1" w:rsidRPr="00580F18" w:rsidRDefault="006E2A24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Section 7 of the Implementing the Housing (Scotland) Act 2006, Parts 1 and 2: Advisory and Statutory Guidance for Local Authorities: Volume 4 Tolerable Standard</w:t>
      </w:r>
      <w:r w:rsidR="00770A5B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states that the</w:t>
      </w:r>
      <w:r w:rsidR="00EE73A5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Tolerable Standard identifies loft insulation, which would be reported in the 5 yearly inspection</w:t>
      </w:r>
      <w:r w:rsidR="007F47E1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report</w:t>
      </w:r>
      <w:r w:rsidR="00EE73A5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. </w:t>
      </w:r>
      <w:r w:rsidR="00640C25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Insulation anywhere else can be included in a scheme decision but is not part of the </w:t>
      </w:r>
      <w:r w:rsidR="007F47E1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Tolerable Standard </w:t>
      </w:r>
      <w:r w:rsidR="00640C25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and is not included in the 5 yearly </w:t>
      </w:r>
      <w:r w:rsidR="007F47E1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inspection</w:t>
      </w:r>
      <w:r w:rsidR="00640C25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.</w:t>
      </w:r>
      <w:r w:rsidR="007F47E1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</w:t>
      </w:r>
    </w:p>
    <w:p w14:paraId="600A27D2" w14:textId="77777777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1009966B" w14:textId="756E7742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Repairing Standard</w:t>
      </w:r>
      <w:r w:rsidR="0022523A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</w:t>
      </w:r>
      <w:r w:rsidR="003F430C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applicable to</w:t>
      </w:r>
      <w:r w:rsidR="0022523A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Private Landlords</w:t>
      </w:r>
    </w:p>
    <w:p w14:paraId="7E20B766" w14:textId="2ED04918" w:rsidR="006942B8" w:rsidRPr="00580F18" w:rsidRDefault="006942B8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The </w:t>
      </w:r>
      <w:r w:rsidR="000D0C2C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Repairing Standard does not comment on insulation at all. </w:t>
      </w:r>
    </w:p>
    <w:p w14:paraId="1A8363F0" w14:textId="77777777" w:rsidR="006B26C0" w:rsidRPr="00580F18" w:rsidRDefault="006B26C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</w:pPr>
    </w:p>
    <w:p w14:paraId="637526BF" w14:textId="287D9AC9" w:rsidR="006B26C0" w:rsidRPr="00580F18" w:rsidRDefault="006B26C0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Energy Efficiency in Scottish Social Housing</w:t>
      </w:r>
      <w:r w:rsidR="00DA2DBB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(EESSH</w:t>
      </w:r>
      <w:r w:rsidR="004F1E3D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2</w:t>
      </w:r>
      <w:r w:rsidR="00DA2DBB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)</w:t>
      </w:r>
      <w:r w:rsidR="009E5EEA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</w:t>
      </w:r>
      <w:r w:rsidR="003F430C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>applicable to</w:t>
      </w:r>
      <w:r w:rsidR="009E5EEA" w:rsidRPr="00580F18">
        <w:rPr>
          <w:rStyle w:val="legaddition"/>
          <w:rFonts w:ascii="Century Gothic" w:eastAsiaTheme="majorEastAsia" w:hAnsi="Century Gothic" w:cs="Arial"/>
          <w:b/>
          <w:bCs/>
          <w:color w:val="1E1E1E"/>
          <w:sz w:val="22"/>
          <w:szCs w:val="22"/>
        </w:rPr>
        <w:t xml:space="preserve"> Social Landlords</w:t>
      </w:r>
    </w:p>
    <w:p w14:paraId="3A0C61B2" w14:textId="34164859" w:rsidR="00EE73A5" w:rsidRPr="00580F18" w:rsidRDefault="00770A5B" w:rsidP="00314710">
      <w:pPr>
        <w:pStyle w:val="legclearfix"/>
        <w:shd w:val="clear" w:color="auto" w:fill="FFFFFF"/>
        <w:spacing w:before="0" w:beforeAutospacing="0" w:after="120" w:afterAutospacing="0" w:line="360" w:lineRule="atLeast"/>
        <w:rPr>
          <w:rFonts w:ascii="Century Gothic" w:eastAsiaTheme="majorEastAsia" w:hAnsi="Century Gothic" w:cs="Arial"/>
          <w:color w:val="1E1E1E"/>
          <w:sz w:val="22"/>
          <w:szCs w:val="22"/>
        </w:rPr>
      </w:pPr>
      <w:r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EESSH2 may require </w:t>
      </w:r>
      <w:r w:rsidR="00A519FF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>a social landlord to install insulation, though this would only be binding on owner occupiers if a scheme decision had passed with a simple majority</w:t>
      </w:r>
      <w:r w:rsidR="00E32858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 (insulation counts as maintenance for </w:t>
      </w:r>
      <w:r w:rsidR="004F1E3D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the making of scheme decisions). The 5 yearly inspection report would need an expanded scope to comment on EESHH2 compliance if this element was to be included, and </w:t>
      </w:r>
      <w:r w:rsidR="009442BD" w:rsidRPr="00580F18">
        <w:rPr>
          <w:rStyle w:val="legaddition"/>
          <w:rFonts w:ascii="Century Gothic" w:eastAsiaTheme="majorEastAsia" w:hAnsi="Century Gothic" w:cs="Arial"/>
          <w:color w:val="1E1E1E"/>
          <w:sz w:val="22"/>
          <w:szCs w:val="22"/>
        </w:rPr>
        <w:t xml:space="preserve">the preambles should be modified to note this additional scope. The recommendations should also note the additional guidance driving the recommendation. </w:t>
      </w:r>
    </w:p>
    <w:sectPr w:rsidR="00EE73A5" w:rsidRPr="00580F1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5CE8" w14:textId="77777777" w:rsidR="001A5268" w:rsidRDefault="001A5268" w:rsidP="002E6B63">
      <w:pPr>
        <w:spacing w:after="0" w:line="240" w:lineRule="auto"/>
      </w:pPr>
      <w:r>
        <w:separator/>
      </w:r>
    </w:p>
  </w:endnote>
  <w:endnote w:type="continuationSeparator" w:id="0">
    <w:p w14:paraId="4C809455" w14:textId="77777777" w:rsidR="001A5268" w:rsidRDefault="001A5268" w:rsidP="002E6B63">
      <w:pPr>
        <w:spacing w:after="0" w:line="240" w:lineRule="auto"/>
      </w:pPr>
      <w:r>
        <w:continuationSeparator/>
      </w:r>
    </w:p>
  </w:endnote>
  <w:endnote w:type="continuationNotice" w:id="1">
    <w:p w14:paraId="2D514F97" w14:textId="77777777" w:rsidR="001A5268" w:rsidRDefault="001A5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4B38" w14:textId="4AA3860F" w:rsidR="002E6B63" w:rsidRDefault="002E6B63">
    <w:pPr>
      <w:pStyle w:val="Footer"/>
    </w:pPr>
    <w:r>
      <w:t>Tenement Working Group – Subgroup 5 – 5-yearly inspection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7FFA" w14:textId="77777777" w:rsidR="001A5268" w:rsidRDefault="001A5268" w:rsidP="002E6B63">
      <w:pPr>
        <w:spacing w:after="0" w:line="240" w:lineRule="auto"/>
      </w:pPr>
      <w:r>
        <w:separator/>
      </w:r>
    </w:p>
  </w:footnote>
  <w:footnote w:type="continuationSeparator" w:id="0">
    <w:p w14:paraId="174E855C" w14:textId="77777777" w:rsidR="001A5268" w:rsidRDefault="001A5268" w:rsidP="002E6B63">
      <w:pPr>
        <w:spacing w:after="0" w:line="240" w:lineRule="auto"/>
      </w:pPr>
      <w:r>
        <w:continuationSeparator/>
      </w:r>
    </w:p>
  </w:footnote>
  <w:footnote w:type="continuationNotice" w:id="1">
    <w:p w14:paraId="655DBC13" w14:textId="77777777" w:rsidR="001A5268" w:rsidRDefault="001A5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DF93B" w14:textId="77777777" w:rsidR="00B15247" w:rsidRPr="00B15247" w:rsidRDefault="00B15247" w:rsidP="00B15247">
    <w:pPr>
      <w:ind w:left="3600" w:firstLine="720"/>
      <w:rPr>
        <w:rFonts w:ascii="Century Gothic" w:hAnsi="Century Gothic"/>
        <w:b/>
        <w:bCs/>
      </w:rPr>
    </w:pPr>
    <w:r w:rsidRPr="00B15247">
      <w:rPr>
        <w:rFonts w:ascii="Century Gothic" w:hAnsi="Century Gothic"/>
        <w:b/>
        <w:bCs/>
      </w:rPr>
      <w:t>Tenement 5-yearly Inspection report</w:t>
    </w:r>
  </w:p>
  <w:p w14:paraId="5503183D" w14:textId="77777777" w:rsidR="0059319D" w:rsidRDefault="00593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2FC"/>
    <w:multiLevelType w:val="hybridMultilevel"/>
    <w:tmpl w:val="D466E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5709"/>
    <w:multiLevelType w:val="hybridMultilevel"/>
    <w:tmpl w:val="7620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4BDA"/>
    <w:multiLevelType w:val="hybridMultilevel"/>
    <w:tmpl w:val="CDF84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A5F68"/>
    <w:multiLevelType w:val="hybridMultilevel"/>
    <w:tmpl w:val="82FA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4760">
    <w:abstractNumId w:val="0"/>
  </w:num>
  <w:num w:numId="2" w16cid:durableId="1629123220">
    <w:abstractNumId w:val="2"/>
  </w:num>
  <w:num w:numId="3" w16cid:durableId="1670406068">
    <w:abstractNumId w:val="3"/>
  </w:num>
  <w:num w:numId="4" w16cid:durableId="97768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10"/>
    <w:rsid w:val="0006358B"/>
    <w:rsid w:val="000D0BA9"/>
    <w:rsid w:val="000D0C2C"/>
    <w:rsid w:val="00110AD2"/>
    <w:rsid w:val="00136037"/>
    <w:rsid w:val="00192BE8"/>
    <w:rsid w:val="001A5268"/>
    <w:rsid w:val="001B1DF3"/>
    <w:rsid w:val="001E2BE5"/>
    <w:rsid w:val="0022523A"/>
    <w:rsid w:val="002275D5"/>
    <w:rsid w:val="00235824"/>
    <w:rsid w:val="00274673"/>
    <w:rsid w:val="00287250"/>
    <w:rsid w:val="002A1D5F"/>
    <w:rsid w:val="002A5A71"/>
    <w:rsid w:val="002E6B63"/>
    <w:rsid w:val="002F3CE6"/>
    <w:rsid w:val="00314710"/>
    <w:rsid w:val="00345E9B"/>
    <w:rsid w:val="0039051A"/>
    <w:rsid w:val="003C4F65"/>
    <w:rsid w:val="003E4966"/>
    <w:rsid w:val="003F430C"/>
    <w:rsid w:val="00462539"/>
    <w:rsid w:val="00464B3E"/>
    <w:rsid w:val="004F1E3D"/>
    <w:rsid w:val="004F3855"/>
    <w:rsid w:val="0051121E"/>
    <w:rsid w:val="00571AD9"/>
    <w:rsid w:val="0057467D"/>
    <w:rsid w:val="00580F18"/>
    <w:rsid w:val="0059319D"/>
    <w:rsid w:val="00603468"/>
    <w:rsid w:val="00640C25"/>
    <w:rsid w:val="006447BC"/>
    <w:rsid w:val="00660A7D"/>
    <w:rsid w:val="006871D1"/>
    <w:rsid w:val="006942B8"/>
    <w:rsid w:val="006B0AFC"/>
    <w:rsid w:val="006B26C0"/>
    <w:rsid w:val="006E2A24"/>
    <w:rsid w:val="006E6482"/>
    <w:rsid w:val="00766E73"/>
    <w:rsid w:val="00770A5B"/>
    <w:rsid w:val="0079049C"/>
    <w:rsid w:val="007D5F47"/>
    <w:rsid w:val="007F47E1"/>
    <w:rsid w:val="008115CC"/>
    <w:rsid w:val="00825905"/>
    <w:rsid w:val="008E6E8F"/>
    <w:rsid w:val="009442BD"/>
    <w:rsid w:val="009C7C10"/>
    <w:rsid w:val="009E5EEA"/>
    <w:rsid w:val="009F0DE4"/>
    <w:rsid w:val="00A27CCC"/>
    <w:rsid w:val="00A360A3"/>
    <w:rsid w:val="00A519FF"/>
    <w:rsid w:val="00A52CF9"/>
    <w:rsid w:val="00A736F3"/>
    <w:rsid w:val="00B016A2"/>
    <w:rsid w:val="00B15247"/>
    <w:rsid w:val="00B656D2"/>
    <w:rsid w:val="00C00FC8"/>
    <w:rsid w:val="00C07CFB"/>
    <w:rsid w:val="00D324A5"/>
    <w:rsid w:val="00D85108"/>
    <w:rsid w:val="00D95214"/>
    <w:rsid w:val="00DA2DBB"/>
    <w:rsid w:val="00DA4E55"/>
    <w:rsid w:val="00DC46B0"/>
    <w:rsid w:val="00DC6F56"/>
    <w:rsid w:val="00DE3789"/>
    <w:rsid w:val="00E32858"/>
    <w:rsid w:val="00E44977"/>
    <w:rsid w:val="00E51E1C"/>
    <w:rsid w:val="00E57A7E"/>
    <w:rsid w:val="00E701B9"/>
    <w:rsid w:val="00EE73A5"/>
    <w:rsid w:val="00EF15A9"/>
    <w:rsid w:val="00F142C8"/>
    <w:rsid w:val="00F33658"/>
    <w:rsid w:val="00F74C58"/>
    <w:rsid w:val="00F80171"/>
    <w:rsid w:val="00F81663"/>
    <w:rsid w:val="00FA161B"/>
    <w:rsid w:val="00FD1826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F7A1"/>
  <w15:chartTrackingRefBased/>
  <w15:docId w15:val="{E3838633-A1A8-4696-982D-11C5C90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710"/>
    <w:rPr>
      <w:b/>
      <w:bCs/>
      <w:smallCaps/>
      <w:color w:val="0F4761" w:themeColor="accent1" w:themeShade="BF"/>
      <w:spacing w:val="5"/>
    </w:rPr>
  </w:style>
  <w:style w:type="paragraph" w:customStyle="1" w:styleId="legclearfix">
    <w:name w:val="legclearfix"/>
    <w:basedOn w:val="Normal"/>
    <w:rsid w:val="0031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egds">
    <w:name w:val="legds"/>
    <w:basedOn w:val="DefaultParagraphFont"/>
    <w:rsid w:val="00314710"/>
  </w:style>
  <w:style w:type="character" w:customStyle="1" w:styleId="legchangedelimiter">
    <w:name w:val="legchangedelimiter"/>
    <w:basedOn w:val="DefaultParagraphFont"/>
    <w:rsid w:val="00314710"/>
  </w:style>
  <w:style w:type="character" w:styleId="Hyperlink">
    <w:name w:val="Hyperlink"/>
    <w:basedOn w:val="DefaultParagraphFont"/>
    <w:uiPriority w:val="99"/>
    <w:unhideWhenUsed/>
    <w:rsid w:val="00314710"/>
    <w:rPr>
      <w:color w:val="0000FF"/>
      <w:u w:val="single"/>
    </w:rPr>
  </w:style>
  <w:style w:type="character" w:customStyle="1" w:styleId="legaddition">
    <w:name w:val="legaddition"/>
    <w:basedOn w:val="DefaultParagraphFont"/>
    <w:rsid w:val="00314710"/>
  </w:style>
  <w:style w:type="paragraph" w:customStyle="1" w:styleId="legrhs">
    <w:name w:val="legrhs"/>
    <w:basedOn w:val="Normal"/>
    <w:rsid w:val="0031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6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63"/>
  </w:style>
  <w:style w:type="paragraph" w:styleId="Footer">
    <w:name w:val="footer"/>
    <w:basedOn w:val="Normal"/>
    <w:link w:val="FooterChar"/>
    <w:uiPriority w:val="99"/>
    <w:unhideWhenUsed/>
    <w:rsid w:val="002E6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63"/>
  </w:style>
  <w:style w:type="character" w:styleId="UnresolvedMention">
    <w:name w:val="Unresolved Mention"/>
    <w:basedOn w:val="DefaultParagraphFont"/>
    <w:uiPriority w:val="99"/>
    <w:semiHidden/>
    <w:unhideWhenUsed/>
    <w:rsid w:val="00F3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1987/26/part/IV/crossheading/the-tolerable-stand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1987/26/part/IV/crossheading/the-tolerable-standar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7/26/part/IV/crossheading/the-tolerable-standar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nderoneroof.scot/owners-association-sample-constitu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152b8-bbec-45eb-8331-6b6cb9333e5c">
      <Terms xmlns="http://schemas.microsoft.com/office/infopath/2007/PartnerControls"/>
    </lcf76f155ced4ddcb4097134ff3c332f>
    <TaxCatchAll xmlns="113d4b13-f918-474e-8531-c5eecaafc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216B8EB31454EB01B910DB4C750A4" ma:contentTypeVersion="16" ma:contentTypeDescription="Create a new document." ma:contentTypeScope="" ma:versionID="70070df6344f2917cd2f76e9de8934c5">
  <xsd:schema xmlns:xsd="http://www.w3.org/2001/XMLSchema" xmlns:xs="http://www.w3.org/2001/XMLSchema" xmlns:p="http://schemas.microsoft.com/office/2006/metadata/properties" xmlns:ns2="529152b8-bbec-45eb-8331-6b6cb9333e5c" xmlns:ns3="113d4b13-f918-474e-8531-c5eecaafc4c0" targetNamespace="http://schemas.microsoft.com/office/2006/metadata/properties" ma:root="true" ma:fieldsID="c68cd56aaa5fb06aedb3e36a769a306e" ns2:_="" ns3:_="">
    <xsd:import namespace="529152b8-bbec-45eb-8331-6b6cb9333e5c"/>
    <xsd:import namespace="113d4b13-f918-474e-8531-c5eecaafc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52b8-bbec-45eb-8331-6b6cb9333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4e943c-141d-49d9-9544-4e4588127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d4b13-f918-474e-8531-c5eecaafc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7a19b34-2fd0-42e1-a2e5-ef48e0f9e206}" ma:internalName="TaxCatchAll" ma:showField="CatchAllData" ma:web="113d4b13-f918-474e-8531-c5eecaafc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FDB6B-EE4E-4D29-BF90-0D72AD5936ED}">
  <ds:schemaRefs>
    <ds:schemaRef ds:uri="http://schemas.microsoft.com/office/2006/metadata/properties"/>
    <ds:schemaRef ds:uri="http://schemas.microsoft.com/office/infopath/2007/PartnerControls"/>
    <ds:schemaRef ds:uri="529152b8-bbec-45eb-8331-6b6cb9333e5c"/>
    <ds:schemaRef ds:uri="113d4b13-f918-474e-8531-c5eecaafc4c0"/>
  </ds:schemaRefs>
</ds:datastoreItem>
</file>

<file path=customXml/itemProps2.xml><?xml version="1.0" encoding="utf-8"?>
<ds:datastoreItem xmlns:ds="http://schemas.openxmlformats.org/officeDocument/2006/customXml" ds:itemID="{8FA8929C-745C-4FA5-AB05-AF57E34B4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BBA19-B408-4996-9171-42B1AA58A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52b8-bbec-45eb-8331-6b6cb9333e5c"/>
    <ds:schemaRef ds:uri="113d4b13-f918-474e-8531-c5eecaafc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Aythan Lewes</dc:creator>
  <cp:keywords/>
  <dc:description/>
  <cp:lastModifiedBy>Aythan Lewes</cp:lastModifiedBy>
  <cp:revision>76</cp:revision>
  <dcterms:created xsi:type="dcterms:W3CDTF">2024-10-30T14:41:00Z</dcterms:created>
  <dcterms:modified xsi:type="dcterms:W3CDTF">2024-11-05T17:28:00Z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0x010100521216B8EB31454EB01B910DB4C750A4</vt:lpwstr>
  </property>
  <property fmtid="{D5CDD505-2E9C-101B-9397-08002B2CF9AE}" pid="3" name="MediaServiceImageTags">
    <vt:lpwstr/>
  </property>
</Properties>
</file>